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Vårgårda kommunfullmäktige</w:t>
      </w:r>
    </w:p>
    <w:p>
      <w:pPr>
        <w:pStyle w:val="Heading1"/>
      </w:pPr>
      <w:r>
        <w:t xml:space="preserve">Bevarande av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Vårgårda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Elevunderlaget på landsbygdsskolorna i Vårgårda har minskat. En utredning om skolstruktur pågår utan att landsbygdsperspektivet tydliggjorts.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Vårgårda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barn- och utbildningsnämnden att genomföra en konsekvensanalys av skolnedläggningar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begär att analysen inkluderar transportkostnader och social påverkan.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200 000 kronor för en oberoende utredning.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lösningar som behåller närhet till skola för barn på landsbygden.</w:t>
      </w:r>
    </w:p>
    <w:p>
      <w:pPr>
        <w:spacing w:before="360"/>
      </w:pPr>
    </w:p>
    <w:p>
      <w:r>
        <w:t xml:space="preserve">Vårgårda,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Vårgårda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2026-07-14T01:51:02.500Z</dcterms:created>
  <dcterms:modified xsi:type="dcterms:W3CDTF">2026-07-14T01:51:02.500Z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