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Vårgårda kommunfullmäktige</w:t>
      </w:r>
    </w:p>
    <w:p>
      <w:pPr>
        <w:pStyle w:val="Heading1"/>
      </w:pPr>
      <w:r>
        <w:t xml:space="preserve">Rekryteringsinsatser inom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Vårgårda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Kolada 2024 visar att Vårgårda har högre personalomsättning inom hemtjänsten än länsgenomsnittet. Rekryteringssvårigheter påverkar kontinuitet och kvalitet i vården på landsbygden.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Vårgårda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uppdrar åt socialnämnden att införa en rekryteringsbonus om 25 000 kronor för nyanställda undersköterskor.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1,2 miljoner kronor för bonusutbetalningar under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begär att socialnämnden redovisar effekter på personalomsättning i årsrapporten.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uppdrar åt förvaltningen att erbjuda utbildningsplatser i samarbete med vuxenutbildningen.</w:t>
      </w:r>
    </w:p>
    <w:p>
      <w:pPr>
        <w:spacing w:before="360"/>
      </w:pPr>
    </w:p>
    <w:p>
      <w:r>
        <w:t xml:space="preserve">Vårgårda,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Vårgårda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2026-07-14T01:51:02.468Z</dcterms:created>
  <dcterms:modified xsi:type="dcterms:W3CDTF">2026-07-14T01:51:02.468Z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