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Vara kommunfullmäktige</w:t>
      </w:r>
    </w:p>
    <w:p>
      <w:pPr>
        <w:pStyle w:val="Heading1"/>
      </w:pPr>
      <w:r>
        <w:t xml:space="preserve">Utveckling av besöksnäringen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Vara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Vara har potential inom natur- och kulturturism men saknar samlad marknadsföring. Besöksnäringen kan skapa nya jobb enligt Tillväxtverket.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Vara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besöksnäringsstrategi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400 000 kr årligen för gemensam marknadsföring med lokala producenter.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näringslivskontoret i uppdrag att stödja evenemang och cykelturism.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samverkan med Västra Götalandsregionen för skyltning och digitala guider.</w:t>
      </w:r>
    </w:p>
    <w:p>
      <w:pPr>
        <w:spacing w:before="360"/>
      </w:pPr>
    </w:p>
    <w:p>
      <w:r>
        <w:t xml:space="preserve">Vara,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Vara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2026-07-14T01:45:51.256Z</dcterms:created>
  <dcterms:modified xsi:type="dcterms:W3CDTF">2026-07-14T01:45:51.256Z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