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Vara kommunfullmäktige</w:t>
      </w:r>
    </w:p>
    <w:p>
      <w:pPr>
        <w:pStyle w:val="Heading1"/>
      </w:pPr>
      <w:r>
        <w:t xml:space="preserve">Ökat underhåll av kommunala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grusvägar och enskilda vägar har eftersatt underhåll enligt tekniska förvaltningens rapport 2025. Detta leder till ökade fordonskostnader och säkerhetsrisker för boende och lantbruk.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anslaget för vägunderhåll med 1,8 mnkr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prioriterar underhåll av vägar med skolskjuts och lantbrukstrafik.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tekniska nämnden i uppdrag att ta fram en treårig underhållsplan.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vägarnas standard till fullmäktige.</w:t>
      </w:r>
    </w:p>
    <w:p>
      <w:pPr>
        <w:spacing w:before="360"/>
      </w:pPr>
    </w:p>
    <w:p>
      <w:r>
        <w:t xml:space="preserve">Vara,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2026-07-14T01:45:51.215Z</dcterms:created>
  <dcterms:modified xsi:type="dcterms:W3CDTF">2026-07-14T01:45:51.215Z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