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Vänersborg kommunfullmäktige</w:t>
      </w:r>
    </w:p>
    <w:p>
      <w:pPr>
        <w:pStyle w:val="Heading1"/>
      </w:pPr>
      <w:r>
        <w:t xml:space="preserve">Ökad studiero och kunskap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Vänersborg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årskurs 9 ligger på 225 (Kolada 2024), under rikssnittet. Bristande studiero rapporteras särskilt på högstadieskolorna i Vänersborg. Skolinspektionen har påpekat behov av åtgärder.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Vänersborg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barn- och utbildningsnämnden att införa gemensam studiero-policy för alla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om förstärkt lärarstöd och mindre klasser i årskurs 7–9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800 000 kr för kompetensutveckling i ledarskap och digitala verktyg.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uppföljning av meritvärde och trygghetsenkät.</w:t>
      </w:r>
    </w:p>
    <w:p>
      <w:pPr>
        <w:spacing w:before="360"/>
      </w:pPr>
    </w:p>
    <w:p>
      <w:r>
        <w:t xml:space="preserve">Vänersborg,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Vänersborg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2026-07-14T01:51:30.115Z</dcterms:created>
  <dcterms:modified xsi:type="dcterms:W3CDTF">2026-07-14T01:51:30.115Z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