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Tidaholm kommunfullmäktige</w:t>
      </w:r>
    </w:p>
    <w:p>
      <w:pPr>
        <w:pStyle w:val="Heading1"/>
      </w:pPr>
      <w:r>
        <w:t xml:space="preserve">Digitalisera kommunal service och minska byråkrati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Tidaholm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förvaltning kan bli mer effektiv. Många ärenden hanteras fortfarande analogt vilket skapar onödig administration.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Tidaholm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en digitaliseringsplan med mål om 80 procent digitala ärenden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införa e-tjänster för de vanligaste kommunala ansökningarna.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minska antalet interna riktlinjer som inte är lagstadgade.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redovisa besparingar och medborgarnöjdhet efter genomförda förändringar.</w:t>
      </w:r>
    </w:p>
    <w:p>
      <w:pPr>
        <w:spacing w:before="360"/>
      </w:pPr>
    </w:p>
    <w:p>
      <w:r>
        <w:t xml:space="preserve">Tidaholm,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Tidaholm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2026-07-14T01:30:39.043Z</dcterms:created>
  <dcterms:modified xsi:type="dcterms:W3CDTF">2026-07-14T01:30:39.043Z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