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Tidaholm kommunfullmäktige</w:t>
      </w:r>
    </w:p>
    <w:p>
      <w:pPr>
        <w:pStyle w:val="Heading1"/>
      </w:pPr>
      <w:r>
        <w:t xml:space="preserve">Ge lokala föreningar större inflytande över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Tidaholm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efterfrågas av bygderåd och föreningar. Kommunen har möjlighet att flytta beslut närmare medborgarna.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Tidaholm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en modell för lokala serviceavtal med bygderåd.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avsätta en pott för föreningsdrivna servicepunkter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ge föreningar rätt att föreslå prioriteringar i budgetprocessen.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utvärdera försöksverksamhet efter två år.</w:t>
      </w:r>
    </w:p>
    <w:p>
      <w:pPr>
        <w:spacing w:before="360"/>
      </w:pPr>
    </w:p>
    <w:p>
      <w:r>
        <w:t xml:space="preserve">Tidaholm,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Tidaholm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2026-07-14T01:30:39.029Z</dcterms:created>
  <dcterms:modified xsi:type="dcterms:W3CDTF">2026-07-14T01:30:39.029Z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