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Tanum kommunfullmäktige</w:t>
      </w:r>
    </w:p>
    <w:p>
      <w:pPr>
        <w:pStyle w:val="Heading1"/>
      </w:pPr>
      <w:r>
        <w:t xml:space="preserve">Digitalt medborgarkontor i alla kommundelar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Tanum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äldre och landsbygdsbor har svårt att nå kommunservice. Digitalisering kan öka tillgänglighet enligt kommunens digitaliseringsplan.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Tanum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digitala medborgarkontor med videomöten i alla kommundelar.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avsätter 800 000 kr för teknik och utbildning av personal.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fullmäktige ger kommunstyrelsen i uppdrag att samarbeta med bibliotek och föreningar.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utvärderar användningen och nöjdheten årligen.</w:t>
      </w:r>
    </w:p>
    <w:p>
      <w:pPr>
        <w:spacing w:before="360"/>
      </w:pPr>
    </w:p>
    <w:p>
      <w:r>
        <w:t xml:space="preserve">Tanum,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Tanum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2026-07-14T01:29:32.388Z</dcterms:created>
  <dcterms:modified xsi:type="dcterms:W3CDTF">2026-07-14T01:29:32.388Z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