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Öckerö kommunfullmäktige</w:t>
      </w:r>
    </w:p>
    <w:p>
      <w:pPr>
        <w:pStyle w:val="Heading1"/>
      </w:pPr>
      <w:r>
        <w:t xml:space="preserve">Förbättrad färjetrafik och pendling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Öckerö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Färjetrafiken till och från Göteborg är avgörande för Öckeröborna. Enligt Västtrafik 2024 förekommer förseningar i 18 % av avgångarna, vilket påverkar pendling, skola och näringsliv. Bristande vinterkapacitet och inställda turer skapar otrygghet. Centerpartiet vill prioritera pålitlig och utökad trafik.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Öckerö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uppdrar åt kommunstyrelsen att initiera dialog med Västtrafik och Trafikverket om utökad turtäthet och vinterkapacitet.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en utredning genomförs om möjlighet till snabbare båtlinjer till centrala Göteborg.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kommunen avsätter medel för förbättrad information och realtidsuppdatering vid förseningar.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resultatet av dialogen redovisas i kommunfullmäktige senast juni 2027.</w:t>
      </w:r>
    </w:p>
    <w:p>
      <w:pPr>
        <w:spacing w:before="360"/>
      </w:pPr>
    </w:p>
    <w:p>
      <w:r>
        <w:t xml:space="preserve">Öckerö,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Öckerö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2026-07-14T02:01:50.487Z</dcterms:created>
  <dcterms:modified xsi:type="dcterms:W3CDTF">2026-07-14T02:01:50.487Z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