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 kommunfullmäktige</w:t>
      </w:r>
    </w:p>
    <w:p>
      <w:pPr>
        <w:pStyle w:val="Heading1"/>
      </w:pPr>
      <w:r>
        <w:t xml:space="preserve">Biologisk mångfald och cirkulär ekonomi i textilsektorn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Mark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Marks textilhistoria ger möjlighet till grön omställning. Kommunen behöver stärka biologisk mångfald och cirkulära lösningar enligt regionala miljömål.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Mark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handlingsplan för biologisk mångfald antas med mätbara mål.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stöd ges till företag som arbetar med återvinning av textil.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kommunens upphandling prioriterar cirkulära produkter.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högskolor och företag utvecklas.</w:t>
      </w:r>
    </w:p>
    <w:p>
      <w:pPr>
        <w:spacing w:before="360"/>
      </w:pPr>
    </w:p>
    <w:p>
      <w:r>
        <w:t xml:space="preserve">Mark,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Mark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2026-07-14T00:48:28.650Z</dcterms:created>
  <dcterms:modified xsi:type="dcterms:W3CDTF">2026-07-14T00:48:28.650Z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