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Mark kommunfullmäktige</w:t>
      </w:r>
    </w:p>
    <w:p>
      <w:pPr>
        <w:pStyle w:val="Heading1"/>
      </w:pPr>
      <w:r>
        <w:t xml:space="preserve">Stöd till landsbygdsskolor och studiero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Mark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Skolresultaten i Marks landsbygdsskolor ligger under genomsnittet enligt Kolada. Färre elever och resursbrist hotar skolornas överlevnad och elevernas kunskapsutveckling.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Mark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garanti införs för att ingen landsbygdsskola läggs ned utan alternativ inom rimligt avstånd.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extra resurser tilldelas för mindre klasser och specialpedagogik.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digital kompetens och studiero prioriteras i skolplanen.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samverkan med lokala föreningar stärks för skolaktiviteter.</w:t>
      </w:r>
    </w:p>
    <w:p>
      <w:pPr>
        <w:spacing w:before="360"/>
      </w:pPr>
    </w:p>
    <w:p>
      <w:r>
        <w:t xml:space="preserve">Mark,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Mark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2026-07-14T00:48:28.614Z</dcterms:created>
  <dcterms:modified xsi:type="dcterms:W3CDTF">2026-07-14T00:48:28.614Z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