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Mariestad kommunfullmäktige</w:t>
      </w:r>
    </w:p>
    <w:p>
      <w:pPr>
        <w:pStyle w:val="Heading1"/>
      </w:pPr>
      <w:r>
        <w:t xml:space="preserve">Hållbar turismutveckling kring Göta kanal och Vänern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Mariestad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Turismen kring Göta kanal och Vänern har stor potential. Kommunens besöksnäringsstrategi 2023 pekar på behov av bättre samordning och hållbara produkter.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Mariestad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uppdaterad turismstrategi med fokus på hållbarhet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1,2 mnkr för gemensam marknadsföring med närliggande kommuner.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näringslivskontoret i uppdrag att stödja lokala producenter och upplevelseföretag.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besöksstatistik och ekonomisk omsättning från turism.</w:t>
      </w:r>
    </w:p>
    <w:p>
      <w:pPr>
        <w:spacing w:before="360"/>
      </w:pPr>
    </w:p>
    <w:p>
      <w:r>
        <w:t xml:space="preserve">Mariestad,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Mariestad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2026-07-14T00:48:08.640Z</dcterms:created>
  <dcterms:modified xsi:type="dcterms:W3CDTF">2026-07-14T00:48:08.640Z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