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Lilla Edet kommunfullmäktige</w:t>
      </w:r>
    </w:p>
    <w:p>
      <w:pPr>
        <w:pStyle w:val="Heading1"/>
      </w:pPr>
      <w:r>
        <w:t xml:space="preserve">Snabbare bygglov och lägre avgifter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Lilla Edet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rankar Lilla Edet 178/290 i företagsklimat, där handläggningstider för bygglov är en svaghet. Småföretagare uppger i enkäter att avgifter och långa tider hindrar expansion (kommunens näringslivsenkät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Lilla Edet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Lilla Edet kommunfullmäktige beslutar att införa tidsgaranti på max 6 veckor för bygglov under 300 kvm.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Lilla Edet kommunfullmäktige beslutar att sänka bygglovsavgifterna med 20 % för företag med färre än 10 anställda.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Lilla Edet kommunfullmäktige beslutar att införa digital ansökningsportal med statusuppdatering.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Lilla Edet kommunfullmäktige beslutar att årligen mäta och redovisa handläggningstider till näringslivsrådet.</w:t>
      </w:r>
    </w:p>
    <w:p>
      <w:pPr>
        <w:spacing w:before="360"/>
      </w:pPr>
    </w:p>
    <w:p>
      <w:r>
        <w:t xml:space="preserve">Lilla Edet,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Lilla Edet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2026-07-14T00:39:51.543Z</dcterms:created>
  <dcterms:modified xsi:type="dcterms:W3CDTF">2026-07-14T00:39:51.543Z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