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Kungälv kommunfullmäktige</w:t>
      </w:r>
    </w:p>
    <w:p>
      <w:pPr>
        <w:pStyle w:val="Heading1"/>
      </w:pPr>
      <w:r>
        <w:t xml:space="preserve">Närakut och hemtjänst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Kungälv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Äldre på öar och landsbygd har långa avstånd till vård. Regionens närakutplan 2025 täcker inte Kungälvs östra delar fullt ut enligt kommunens äldreomsorgsrapport.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Kungälv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mobil närakut för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utöka hemtjänstens resurser med 10 % på öar och landsbygd.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digitala tillsynsverktyg för äldre i glesbygd.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samverka med regionen om gemensam jourverksamhet.</w:t>
      </w:r>
    </w:p>
    <w:p>
      <w:pPr>
        <w:spacing w:before="360"/>
      </w:pPr>
    </w:p>
    <w:p>
      <w:r>
        <w:t xml:space="preserve">Kungälv,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Kungälv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2026-07-14T00:33:33.425Z</dcterms:created>
  <dcterms:modified xsi:type="dcterms:W3CDTF">2026-07-14T00:33:33.425Z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