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Kungälv kommunfullmäktige</w:t>
      </w:r>
    </w:p>
    <w:p>
      <w:pPr>
        <w:pStyle w:val="Heading1"/>
      </w:pPr>
      <w:r>
        <w:t xml:space="preserve">Bredband till alla landsbygdsområden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Kungälv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Kungälv har fortfarande områden utan fiber trots nationella mål. Enligt kommunens bredbandsstrategi 2025 saknar cirka 1 800 hushåll på landsbygden tillgång. Detta hämmar företagande och distansarbete. Centerpartiet vill prioritera utbyggnad för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Kungälv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100 % 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8 miljoner kronor årligen i budget för fiberutbyggnad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samordningsfunktion för dialog med operatörer och byalag.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årlig uppföljning av bredbandstäckning till kommunfullmäktige.</w:t>
      </w:r>
    </w:p>
    <w:p>
      <w:pPr>
        <w:spacing w:before="360"/>
      </w:pPr>
    </w:p>
    <w:p>
      <w:r>
        <w:t xml:space="preserve">Kungälv,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Kungälv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2026-07-14T00:33:33.375Z</dcterms:created>
  <dcterms:modified xsi:type="dcterms:W3CDTF">2026-07-14T00:33:33.375Z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