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Hjo kommunfullmäktige</w:t>
      </w:r>
    </w:p>
    <w:p>
      <w:pPr>
        <w:pStyle w:val="Heading1"/>
      </w:pPr>
      <w:r>
        <w:t xml:space="preserve">Skydda Vätterns vattenmiljö och biologiska mångfald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Hjo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Övergödning hotar Vättern (länsstyrelsen 2025). Lokala åtgärder behövs för att bevara fiske och rekreation.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Hjo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en lokal åtgärdsplan mot övergödning antas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kommunens dagvattenhantering ses över för att minska utsläpp.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biologisk mångfald inventeras längs stränderna.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samverkan med ideella fiske- och naturföreningar formaliseras.</w:t>
      </w:r>
    </w:p>
    <w:p>
      <w:pPr>
        <w:spacing w:before="360"/>
      </w:pPr>
    </w:p>
    <w:p>
      <w:r>
        <w:t xml:space="preserve">Hjo,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Hjo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2026-07-14T00:11:51.393Z</dcterms:created>
  <dcterms:modified xsi:type="dcterms:W3CDTF">2026-07-14T00:11:51.393Z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