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Herrljunga kommunfullmäktige</w:t>
      </w:r>
    </w:p>
    <w:p>
      <w:pPr>
        <w:pStyle w:val="Heading1"/>
      </w:pPr>
      <w:r>
        <w:t xml:space="preserve">Fler småhus och hyresrätter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Herrljunga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Boverkets bostadsmarknadsenkät 2024 visar underskott på både småhus och hyresrätter i Herrljunga. Ungdomar och äldre har svårt att hitta lämpligt boende.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Herrljunga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tar fram en bostadsförsörjningsplan med mål om 40 nya bostäder per år 2027–2030.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planläggning för småhusområden prioriteras i detaljplanearbetet.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allmännyttan inleds för fler hyresrätter på landsbygden.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uppföljning av bostadsbyggandet redovisas till kommunfullmäktige.</w:t>
      </w:r>
    </w:p>
    <w:p>
      <w:pPr>
        <w:spacing w:before="360"/>
      </w:pPr>
    </w:p>
    <w:p>
      <w:r>
        <w:t xml:space="preserve">Herrljunga,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Herrljunga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2026-07-14T00:11:24.112Z</dcterms:created>
  <dcterms:modified xsi:type="dcterms:W3CDTF">2026-07-14T00:11:24.112Z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