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Gullspång kommunfullmäktige</w:t>
      </w:r>
    </w:p>
    <w:p>
      <w:pPr>
        <w:pStyle w:val="Heading1"/>
      </w:pPr>
      <w:r>
        <w:t xml:space="preserve">Förenkla bygglov för småhus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Gullspång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visar att Gullspång har lågt bostadsbyggande. Förenklade regler kan öka småhusbyggande och locka inflyttare.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Gullspång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riktlinjer för snabbare bygglovsprocess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avgifterna för bygglov sänks med 30 % för småhus utanför tätort.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lotsfunktion för byggärenden inrättas.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målet är 20 nya bostäder per år på landsbygden.</w:t>
      </w:r>
    </w:p>
    <w:p>
      <w:pPr>
        <w:spacing w:before="360"/>
      </w:pPr>
    </w:p>
    <w:p>
      <w:r>
        <w:t xml:space="preserve">Gullspång,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Gullspång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2026-07-14T00:01:44.087Z</dcterms:created>
  <dcterms:modified xsi:type="dcterms:W3CDTF">2026-07-14T00:01:44.087Z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