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Grästorp kommunfullmäktige</w:t>
      </w:r>
    </w:p>
    <w:p>
      <w:pPr>
        <w:pStyle w:val="Heading1"/>
      </w:pPr>
      <w:r>
        <w:t xml:space="preserve">Utveckling av natur- och kulturturism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Grästorp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Grästorp har potential för besöksnäring genom natur, kultur och lokala producenter. Enligt Visit Sweden 2025 kan hållbar turism skapa jobb och stärka ekonomin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Grästorp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Grästorps kommunfullmäktige beslutar att ta fram en strategi för hållbar turism.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Grästorps kommunfullmäktige beslutar att skylta och marknadsföra natur- och kulturstigar.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Grästorps kommunfullmäktige beslutar att stödja lokala producenter med evenemang.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Grästorps kommunfullmäktige beslutar att samarbeta med grannkommuner för gemensam marknadsföring.</w:t>
      </w:r>
    </w:p>
    <w:p>
      <w:pPr>
        <w:spacing w:before="360"/>
      </w:pPr>
    </w:p>
    <w:p>
      <w:r>
        <w:t xml:space="preserve">Grästorp,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Grästorp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2026-07-14T00:01:20.454Z</dcterms:created>
  <dcterms:modified xsi:type="dcterms:W3CDTF">2026-07-14T00:01:20.454Z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