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Götene kommunfullmäktige</w:t>
      </w:r>
    </w:p>
    <w:p>
      <w:pPr>
        <w:pStyle w:val="Heading1"/>
      </w:pPr>
      <w:r>
        <w:t xml:space="preserve">Fler platser i hemtjänst och äldreboende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Götene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äldreomsorgsrapport 2025 visar brist på platser utanför tätorten. Många äldre tvingas flytta från sin hembygd.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Götene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socialnämnden i uppdrag att planera 20 nya hemtjänstplatser på landsbygden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mobil hemtjänstverksamhet införs för Kinnekulle-området.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ideella föreningar för social samvaro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kostnadsberäkning och genomförandeplan presenteras senast 2027-03-31.</w:t>
      </w:r>
    </w:p>
    <w:p>
      <w:pPr>
        <w:spacing w:before="360"/>
      </w:pPr>
    </w:p>
    <w:p>
      <w:r>
        <w:t xml:space="preserve">Götene,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Götene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2026-07-14T00:04:25.462Z</dcterms:created>
  <dcterms:modified xsi:type="dcterms:W3CDTF">2026-07-14T00:04:25.462Z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