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Göteborg kommunfullmäktige</w:t>
      </w:r>
    </w:p>
    <w:p>
      <w:pPr>
        <w:pStyle w:val="Heading1"/>
      </w:pPr>
      <w:r>
        <w:t xml:space="preserve">Klimatanpassning av Göteborgs kajer och dränering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Göteborg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SMHI prognoser visar ökad risk för översvämningar längs Göta älv. Göteborgs stad har identifierat 40 kritiska punkter (Klimatanpassningsplan 2024). Tidiga åtgärder sparar stora kostnader.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Göteborg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påbörja klimatanpassning av kajerna vid Lilla Bommen och Masthuggskajen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uppgradera dagvattensystemet i utsatta områden med 50 miljoner kronor per år under tre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kräva klimatriskanalys vid alla nya detaljplaner från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genomförda åtgärder och kostnader i budgetuppföljningen 2028.</w:t>
      </w:r>
    </w:p>
    <w:p>
      <w:pPr>
        <w:spacing w:before="360"/>
      </w:pPr>
    </w:p>
    <w:p>
      <w:r>
        <w:t xml:space="preserve">Göteborg,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Göteborg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2026-07-14T00:03:51.081Z</dcterms:created>
  <dcterms:modified xsi:type="dcterms:W3CDTF">2026-07-14T00:03:51.081Z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