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Falköping kommunfullmäktige</w:t>
      </w:r>
    </w:p>
    <w:p>
      <w:pPr>
        <w:pStyle w:val="Heading1"/>
      </w:pPr>
      <w:r>
        <w:t xml:space="preserve">Snabbare etablering via lokala matchningsjobb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Falköping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visar att nyanlända i Falköping har lägre sysselsättningsgrad än länsgenomsnittet. Lokala företag inom jordbruk och industri har svårt att rekrytera.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Falköping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kommunal matchningsfunktion tillsammans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800 000 kr årligen för praktikplatser med språkstöd.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integrationsenheten i uppdrag att erbjuda yrkessvenska i samarbete med folkhögskolan.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sysselsättningsgrad för nyanlända i årlig rapport.</w:t>
      </w:r>
    </w:p>
    <w:p>
      <w:pPr>
        <w:spacing w:before="360"/>
      </w:pPr>
    </w:p>
    <w:p>
      <w:r>
        <w:t xml:space="preserve">Falköping,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Falköping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2026-07-13T23:54:07.842Z</dcterms:created>
  <dcterms:modified xsi:type="dcterms:W3CDTF">2026-07-13T23:54:07.842Z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