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Essunga kommunfullmäktige</w:t>
      </w:r>
    </w:p>
    <w:p>
      <w:pPr>
        <w:pStyle w:val="Heading1"/>
      </w:pPr>
      <w:r>
        <w:t xml:space="preserve">Ökat inflytande för byalag och 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Essunga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byalag i Essunga har uttryckt önskan om större inflytande över lokala beslut (Brå 2024). Decentralisering stärker demokratin och engagemanget.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Essunga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modell för lokala råd med budgetansvar i varje kommundel.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kommunstyrelsen i uppdrag att ta fram riktlinjer för samverkan med ideella 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300 000 kr årligen till byalagens utvecklingsprojekt.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utvärderar modellen efter två år.</w:t>
      </w:r>
    </w:p>
    <w:p>
      <w:pPr>
        <w:spacing w:before="360"/>
      </w:pPr>
    </w:p>
    <w:p>
      <w:r>
        <w:t xml:space="preserve">Essunga,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Essunga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2026-07-13T23:52:42.271Z</dcterms:created>
  <dcterms:modified xsi:type="dcterms:W3CDTF">2026-07-13T23:52:42.271Z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