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Borås kommunfullmäktige</w:t>
      </w:r>
    </w:p>
    <w:p>
      <w:pPr>
        <w:pStyle w:val="Heading1"/>
      </w:pPr>
      <w:r>
        <w:t xml:space="preserve">Fler småhus och hyresrätter på landsbygden i Borås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Borås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Boverket 2024 visar att Borås har underskott på 1 200 bostäder utanför tätorten. Småhus och hyresrätter behövs för att behålla unga familjer och stödja lokal service.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Borås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Borås kommunfullmäktige beslutar att uppdatera översiktsplanen med minst 300 nya bostäder på landsbygden fram till 2032.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Borås kommunfullmäktige beslutar att införa en markanvisningspolicy som prioriterar småhus och hyresrätter i ytterområden.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Borås kommunfullmäktige beslutar att sänka exploateringsavgifterna med 25 % för projekt under 10 bostäder.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Borås kommunfullmäktige beslutar att årligen redovisa bostadsbyggande per kommundel.</w:t>
      </w:r>
    </w:p>
    <w:p>
      <w:pPr>
        <w:spacing w:before="360"/>
      </w:pPr>
    </w:p>
    <w:p>
      <w:r>
        <w:t xml:space="preserve">Borås,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Borås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2026-07-13T23:42:52.464Z</dcterms:created>
  <dcterms:modified xsi:type="dcterms:W3CDTF">2026-07-13T23:42:52.464Z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