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Åmål kommunfullmäktige</w:t>
      </w:r>
    </w:p>
    <w:p>
      <w:pPr>
        <w:pStyle w:val="Heading1"/>
      </w:pPr>
      <w:r>
        <w:t xml:space="preserve">Nära och trygg äldreomsorg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Åmål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22 % av Åmåls invånare är över 80 år (SCB). Brist på hemtjänst i glesbygd leder till otrygghet enligt kommunens 2025-rapport. Decentraliserad vård är en prioritet.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Åmål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hemtjänst med mobila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träffpunkter i byarna för social samvaro.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anhörigstöd via digitala verktyg och lokala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kvalitet med Brukarundersökningen varje år.</w:t>
      </w:r>
    </w:p>
    <w:p>
      <w:pPr>
        <w:spacing w:before="360"/>
      </w:pPr>
    </w:p>
    <w:p>
      <w:r>
        <w:t xml:space="preserve">Åmål,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Åmål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2026-07-14T01:55:58.445Z</dcterms:created>
  <dcterms:modified xsi:type="dcterms:W3CDTF">2026-07-14T01:55:58.445Z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