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Åmål kommunfullmäktige</w:t>
      </w:r>
    </w:p>
    <w:p>
      <w:pPr>
        <w:pStyle w:val="Heading1"/>
      </w:pPr>
      <w:r>
        <w:t xml:space="preserve">Stärk landsbygdsskolorna i Åmål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Åmål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meritvärde 215 i Åmål, lägre än riksgenomsnittet. Flera byskolor riskerar nedläggning trots goda resultat i mindre klasser. Valfrihet och studiero är centralt för Centerpartiet.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Åmål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garantera fortsatt drift av minst fyra landsbygdsskolor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extra resurser för digital kompetens och läromedel.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utreda samverkan med närliggande kommuner för gemensamma gymnasieprogram.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elevnöjdhet årligen och redovisa till fullmäktige.</w:t>
      </w:r>
    </w:p>
    <w:p>
      <w:pPr>
        <w:spacing w:before="360"/>
      </w:pPr>
    </w:p>
    <w:p>
      <w:r>
        <w:t xml:space="preserve">Åmål,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Åmål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2026-07-14T01:55:58.438Z</dcterms:created>
  <dcterms:modified xsi:type="dcterms:W3CDTF">2026-07-14T01:55:58.438Z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