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Åmål kommunfullmäktige</w:t>
      </w:r>
    </w:p>
    <w:p>
      <w:pPr>
        <w:pStyle w:val="Heading1"/>
      </w:pPr>
      <w:r>
        <w:t xml:space="preserve">Bredband till hela Åmåls landsbygd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Åmål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18 % av hushållen på landsbygden fiber. Detta hämmar företag, distansarbete och service. Kolada visar lägre digital delaktighet i Åmål jämfört med länet. Centerpartiet vill prioritera utbyggnad för att hålla landsbygden levande.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Åmål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mål om 95 % fiberanslutning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 miljoner kronor årligen i budget för samfinansiering med statliga 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en bredbandssamordnare som samverkar med byalag och operatörer.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utbyggnadstakt till kommunfullmäktige.</w:t>
      </w:r>
    </w:p>
    <w:p>
      <w:pPr>
        <w:spacing w:before="360"/>
      </w:pPr>
    </w:p>
    <w:p>
      <w:r>
        <w:t xml:space="preserve">Åmål,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Åmål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2026-07-14T01:55:58.424Z</dcterms:created>
  <dcterms:modified xsi:type="dcterms:W3CDTF">2026-07-14T01:55:58.424Z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