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Alingsås kommunfullmäktige</w:t>
      </w:r>
    </w:p>
    <w:p>
      <w:pPr>
        <w:pStyle w:val="Heading1"/>
      </w:pPr>
      <w:r>
        <w:t xml:space="preserve">Utveckling av hållbar turism vid Mjörn och Nolhaga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Alingsås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Alingsås har stor potential inom naturturism och evenemang som Lights in Alingsås. Besöksnäringen kan växa med bättre infrastruktur och marknadsföring.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Alingsås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ta fram en besöksnäringsstrategi med fokus på Mjörn och Nolhaga.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investera i cykel- och vandringsleder runt sjön.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samverka med lokala producenter för mathantverk.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mäta och redovisa besöksnäringens utveckling årligen.</w:t>
      </w:r>
    </w:p>
    <w:p>
      <w:pPr>
        <w:spacing w:before="360"/>
      </w:pPr>
    </w:p>
    <w:p>
      <w:r>
        <w:t xml:space="preserve">Alingsås,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Alingsås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2026-07-13T23:30:44.333Z</dcterms:created>
  <dcterms:modified xsi:type="dcterms:W3CDTF">2026-07-13T23:30:44.333Z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