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Västerås kommunfullmäktige</w:t>
      </w:r>
    </w:p>
    <w:p>
      <w:pPr>
        <w:pStyle w:val="Heading1"/>
      </w:pPr>
      <w:r>
        <w:t xml:space="preserve">Stärk studieron i Västerås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Meritvärden i Västerås ligger under rikssnittet (Kolada 2024). Studiero är en av de viktigaste faktorerna för kunskapsutveckling enligt Skolverket.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kommunövergripande handlingsplan för studiero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skolor ska ha tillgång till specialpedagogiskt stöd inom 30 dagar.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verktyg för ordning och uppföljning införs.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i barn- och utbildningsnämnden varje termin.</w:t>
      </w:r>
    </w:p>
    <w:p>
      <w:pPr>
        <w:spacing w:before="360"/>
      </w:pPr>
    </w:p>
    <w:p>
      <w:r>
        <w:t xml:space="preserve">Västerås,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2026-07-14T01:53:57.199Z</dcterms:created>
  <dcterms:modified xsi:type="dcterms:W3CDTF">2026-07-14T01:53:57.199Z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