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Surahammar kommunfullmäktige</w:t>
      </w:r>
    </w:p>
    <w:p>
      <w:pPr>
        <w:pStyle w:val="Heading1"/>
      </w:pPr>
      <w:r>
        <w:t xml:space="preserve">Fler småhus och hyresrätter på rimliga villkor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Surahammar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Befolkningsutvecklingen kräver fler bostäder. Detaljplaner för småhus och hyresrätter i Surahammar och Virsbo saknas. Rimliga villkor underlättar byggande.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Surahammar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detaljplaner för 50 nya bostäder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småhus och hyresrätter i planeringen.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sänka exploateringsavgifter med 15 % för hållbara byggen.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bostadsbyggandet kvartalsvis.</w:t>
      </w:r>
    </w:p>
    <w:p>
      <w:pPr>
        <w:spacing w:before="360"/>
      </w:pPr>
    </w:p>
    <w:p>
      <w:r>
        <w:t xml:space="preserve">Surahammar,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Surahammar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2026-07-14T01:24:19.882Z</dcterms:created>
  <dcterms:modified xsi:type="dcterms:W3CDTF">2026-07-14T01:24:19.882Z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