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Surahammar kommunfullmäktige</w:t>
      </w:r>
    </w:p>
    <w:p>
      <w:pPr>
        <w:pStyle w:val="Heading1"/>
      </w:pPr>
      <w:r>
        <w:t xml:space="preserve">Ökad biologisk mångfald i kommunens natur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Surahammar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Länsstyrelsen Västmanland pekar på behov av åtgärder för pollinatörer och våtmarker. Surahammars sjöar och skogar är värdefulla. Lokala insatser stärker klimatarbetet.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Surahammar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anta en handlingsplan för biologisk mångfald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restaurera två våtmarker per år 2027–2029.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blommande vägkanter och ängar i tätorten.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åtgärder och resultat årligen.</w:t>
      </w:r>
    </w:p>
    <w:p>
      <w:pPr>
        <w:spacing w:before="360"/>
      </w:pPr>
    </w:p>
    <w:p>
      <w:r>
        <w:t xml:space="preserve">Surahammar,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Surahammar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2026-07-14T01:24:19.877Z</dcterms:created>
  <dcterms:modified xsi:type="dcterms:W3CDTF">2026-07-14T01:24:19.877Z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