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Surahammar kommunfullmäktige</w:t>
      </w:r>
    </w:p>
    <w:p>
      <w:pPr>
        <w:pStyle w:val="Heading1"/>
      </w:pPr>
      <w:r>
        <w:t xml:space="preserve">Främja hållbar turism vid Virsbo och Ramnäs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Surahammar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sjöar och natur har stor potential för besöksnäring. Lokala producenter och kultur kan skapa nya jobb. En strategi för hållbar turism stärker hela kommunen enligt Länsstyrelsen.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Surahammar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ta fram en turismstrategi för Virsbo och Ramnäs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500 000 kr årligen för marknadsföring av lokala besöksmål.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stödja samverkan mellan föreningar och företag kring evenemang.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mäta besöksnäringens utveckling årligen.</w:t>
      </w:r>
    </w:p>
    <w:p>
      <w:pPr>
        <w:spacing w:before="360"/>
      </w:pPr>
    </w:p>
    <w:p>
      <w:r>
        <w:t xml:space="preserve">Surahammar,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Surahammar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2026-07-14T01:24:19.856Z</dcterms:created>
  <dcterms:modified xsi:type="dcterms:W3CDTF">2026-07-14T01:24:19.856Z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