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Skinnskatteberg kommunfullmäktige</w:t>
      </w:r>
    </w:p>
    <w:p>
      <w:pPr>
        <w:pStyle w:val="Heading1"/>
      </w:pPr>
      <w:r>
        <w:t xml:space="preserve">Digital service i kommunens utkanter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Skinnskatteberg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och landsbygdsbor har svårt att använda kommunens e-tjänster. Digital klyfta riskerar att minska delaktighet (Brå trygghetsmätning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Skinnskatteberg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mobila servicepunkter i Färna och Riddarhyttan en gång per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förvaltningen i uppdrag att erbjuda digital handledning via bibliotek och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300 000 kr för utbildning i digitala tjänster riktat till äldre.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användningen av e-tjänster per kommundel årligen.</w:t>
      </w:r>
    </w:p>
    <w:p>
      <w:pPr>
        <w:spacing w:before="360"/>
      </w:pPr>
    </w:p>
    <w:p>
      <w:r>
        <w:t xml:space="preserve">Skinnskatteberg,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Skinnskatteberg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2026-07-14T01:14:22.300Z</dcterms:created>
  <dcterms:modified xsi:type="dcterms:W3CDTF">2026-07-14T01:14:22.300Z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