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Skinnskatteberg kommunfullmäktige</w:t>
      </w:r>
    </w:p>
    <w:p>
      <w:pPr>
        <w:pStyle w:val="Heading1"/>
      </w:pPr>
      <w:r>
        <w:t xml:space="preserve">Utveckla besöksnäring kring gruvor och natur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Skinnskatteberg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Skinnskatteberg har unik gruvhistoria och naturreservat som Riddarhyttan och Färna. Turismen är outvecklad trots potential enligt Visit Västmanland. Besöksnäringen kan skapa lokala jobb och stärka skatteunderlaget.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Skinnskatteberg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besöksnäringsstrategi med fokus på gruvturism och naturguidning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800 000 kr årligen för samfinansiering av skyltning och digitala guidningar.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kultur- och fritidsnämnden i uppdrag att samarbeta med lokala föreningar om evenemang.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utreder möjlighet till turistinformation i Riddarhyttan.</w:t>
      </w:r>
    </w:p>
    <w:p>
      <w:pPr>
        <w:spacing w:before="360"/>
      </w:pPr>
    </w:p>
    <w:p>
      <w:r>
        <w:t xml:space="preserve">Skinnskatteberg,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Skinnskatteberg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2026-07-14T01:14:22.258Z</dcterms:created>
  <dcterms:modified xsi:type="dcterms:W3CDTF">2026-07-14T01:14:22.258Z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