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Kungsör kommunfullmäktige</w:t>
      </w:r>
    </w:p>
    <w:p>
      <w:pPr>
        <w:pStyle w:val="Heading1"/>
      </w:pPr>
      <w:r>
        <w:t xml:space="preserve">Öka byggandet av småhus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Kungsör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för barnfamiljer råder i Kungsör. Endast 12 småhus byggdes 2023–2025 enligt Boverkets statistik. Detta driver unga att flytta.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Kungsör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Kungsör kommunfullmäktige beslutar att peka ut minst tre nya småhusområden i översiktsplanen.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sänker tomträttsavgälden för småhus med 25 % under fem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ger plan- och byggenheten i uppdrag att prioritera småhus i detaljplanearbete.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redovisar antalet beviljade småhusbygglov.</w:t>
      </w:r>
    </w:p>
    <w:p>
      <w:pPr>
        <w:spacing w:before="360"/>
      </w:pPr>
    </w:p>
    <w:p>
      <w:r>
        <w:t xml:space="preserve">Kungsör,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Kungsör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2026-07-14T00:33:00.782Z</dcterms:created>
  <dcterms:modified xsi:type="dcterms:W3CDTF">2026-07-14T00:33:00.782Z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