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Arboga kommunfullmäktige</w:t>
      </w:r>
    </w:p>
    <w:p>
      <w:pPr>
        <w:pStyle w:val="Heading1"/>
      </w:pPr>
      <w:r>
        <w:t xml:space="preserve">Främja lokal grön energi och biologisk mångfald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Arboga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Arboga har god potential för sol- och vindkraft samt våtmarker (Länsstyrelsen Västmanland 2024). Cirkulär ekonomi kan skapa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Arboga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installera solceller på alla kommunala fastigheter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skydda och restaurera minst 50 hektar våtmark för biologisk mångfald.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ett lokalt stöd för solceller och värmepumpar till privatpersoner.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kräva biologisk mångfaldsplan vid alla nya exploateringar.</w:t>
      </w:r>
    </w:p>
    <w:p>
      <w:pPr>
        <w:spacing w:before="360"/>
      </w:pPr>
    </w:p>
    <w:p>
      <w:r>
        <w:t xml:space="preserve">Arboga,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Arboga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2026-07-13T23:32:37.319Z</dcterms:created>
  <dcterms:modified xsi:type="dcterms:W3CDTF">2026-07-13T23:32:37.319Z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