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Kramfors kommunfullmäktige</w:t>
      </w:r>
    </w:p>
    <w:p>
      <w:pPr>
        <w:pStyle w:val="Heading1"/>
      </w:pPr>
      <w:r>
        <w:t xml:space="preserve">Fler småhus och hyresrätter i hela kommunen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Kramfors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Befolkningen minskar och unga flyttar bort på grund av bostadsbrist. Kommunens bostadsplan saknar fokus på landsbygden och småhus.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Kramfors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uppdatera bostadsförsörjningsplanen med mål om 80 nya bostäder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markanvisningar prioriteras för småhus och hyresrätter utanför tätorten.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byggbonus för energismarta hus införs.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privata aktörer och kooperativ uppmuntras.</w:t>
      </w:r>
    </w:p>
    <w:p>
      <w:pPr>
        <w:spacing w:before="360"/>
      </w:pPr>
    </w:p>
    <w:p>
      <w:r>
        <w:t xml:space="preserve">Kramfors,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Kramfors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2026-07-14T00:29:37.111Z</dcterms:created>
  <dcterms:modified xsi:type="dcterms:W3CDTF">2026-07-14T00:29:37.111Z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