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Ånge kommunfullmäktige</w:t>
      </w:r>
    </w:p>
    <w:p>
      <w:pPr>
        <w:pStyle w:val="Heading1"/>
      </w:pPr>
      <w:r>
        <w:t xml:space="preserve">Sänkta avgifter för småföretag i Ånge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2024 rankar Ånge 248 av 290 kommuner i företagsklimat. Höga bygglovs- och tillsynsavgifter försvårar etablering och expansion av lokala 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sänka bygglovsavgifterna med 25 % för företag med färre än 10 anställda.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förenklat tillståndsförfarande för småskalig livsmedelsproduktion.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avgiftsfri rådgivning vid etablering via näringslivskontoret.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effekten av avgiftssänkningarna i budgetuppföljningen 2027.</w:t>
      </w:r>
    </w:p>
    <w:p>
      <w:pPr>
        <w:spacing w:before="360"/>
      </w:pPr>
    </w:p>
    <w:p>
      <w:r>
        <w:t xml:space="preserve">Ånge,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2026-07-14T01:56:27.165Z</dcterms:created>
  <dcterms:modified xsi:type="dcterms:W3CDTF">2026-07-14T01:56:27.165Z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