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Umeå kommunfullmäktige</w:t>
      </w:r>
    </w:p>
    <w:p>
      <w:pPr>
        <w:pStyle w:val="Heading1"/>
      </w:pPr>
      <w:r>
        <w:t xml:space="preserve">Hållbar turism kring Umeälven och natur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Umeå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Umeå har potential för naturturism vid Umeälven och Nydalasjön. Besöksnäringen kan växa med hållbara insatser enligt kommunens 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Umeå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turismstrategi för Umeälven antas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5 miljoner kronor avsätts för leder och besöksplatser.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lokala producenter inkluderas i besöksnäringen.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Visit Umeå och föreningar förstärks.</w:t>
      </w:r>
    </w:p>
    <w:p>
      <w:pPr>
        <w:spacing w:before="360"/>
      </w:pPr>
    </w:p>
    <w:p>
      <w:r>
        <w:t xml:space="preserve">Umeå,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Umeå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2026-07-14T01:40:33.092Z</dcterms:created>
  <dcterms:modified xsi:type="dcterms:W3CDTF">2026-07-14T01:40:33.092Z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