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Skellefteå kommunfullmäktige</w:t>
      </w:r>
    </w:p>
    <w:p>
      <w:pPr>
        <w:pStyle w:val="Heading1"/>
      </w:pPr>
      <w:r>
        <w:t xml:space="preserve">Decentraliserad beslutsrätt till byalag och föreningar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Skellefteå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Centerpartiet vill flytta makt närmare medborgarna. Idag fattas många beslut centralt trots att lokalkännedom finns hos byalag. Detta stärker demokrati och engagemang.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Skellefteå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en modell för lokala budgetar till byalag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ger kommunstyrelsen i uppdrag att ta fram riktlinjer för samverkan med ideella föreningar.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avsätter 1 miljon kronor för pilotprojekt med lokala utvecklingsråd.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utvärderar modellen efter två år och redovisar till fullmäktige.</w:t>
      </w:r>
    </w:p>
    <w:p>
      <w:pPr>
        <w:spacing w:before="360"/>
      </w:pPr>
    </w:p>
    <w:p>
      <w:r>
        <w:t xml:space="preserve">Skellefteå,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Skellefteå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2026-07-14T01:13:47.010Z</dcterms:created>
  <dcterms:modified xsi:type="dcterms:W3CDTF">2026-07-14T01:13:47.010Z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