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Robertsfors kommunfullmäktige</w:t>
      </w:r>
    </w:p>
    <w:p>
      <w:pPr>
        <w:pStyle w:val="Heading1"/>
      </w:pPr>
      <w:r>
        <w:t xml:space="preserve">Utbyggnad av bredband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Robertsfors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78 % av hushållen på landsbygden har tillgång till 100 Mbit/s (PTS 2024). Detta hämmar företagande, distansarbete och service. Robertsfors ligger under länsgenomsnittet och påverkar hela kommunens attraktivitet.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Robertsfors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95 % täckning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2,5 mnkr årligen 2027–2029 för fiberutbyggnad i prioriterade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ger förvaltningen i uppdrag att söka statliga stödmedel via Bredbandsforum.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redovisar täckningsgrad per kommundel till kommunstyrelsen.</w:t>
      </w:r>
    </w:p>
    <w:p>
      <w:pPr>
        <w:spacing w:before="360"/>
      </w:pPr>
    </w:p>
    <w:p>
      <w:r>
        <w:t xml:space="preserve">Robertsfors,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Robertsfors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2026-07-14T01:08:02.805Z</dcterms:created>
  <dcterms:modified xsi:type="dcterms:W3CDTF">2026-07-14T01:08:02.805Z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