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Nordmaling kommunfullmäktige</w:t>
      </w:r>
    </w:p>
    <w:p>
      <w:pPr>
        <w:pStyle w:val="Heading1"/>
      </w:pPr>
      <w:r>
        <w:t xml:space="preserve">Stöd för hållbar besöksnäring och turism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Nordmaling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Nordmalings kust och skogar har stor potential för naturturism men saknar samordnat stöd (Visit Västerbotten).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Nordmaling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avsätter 800 000 kr årligen för destinationsutveckling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inrätta en turismkoordinator i samverkan med näringslivet.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skyltning och digital information om besöksmål förbättras.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utvärdering görs tillsammans med lokala företagare.</w:t>
      </w:r>
    </w:p>
    <w:p>
      <w:pPr>
        <w:spacing w:before="360"/>
      </w:pPr>
    </w:p>
    <w:p>
      <w:r>
        <w:t xml:space="preserve">Nordmaling,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Nordmaling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2026-07-14T00:56:15.135Z</dcterms:created>
  <dcterms:modified xsi:type="dcterms:W3CDTF">2026-07-14T00:56:15.135Z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