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Malå kommunfullmäktige</w:t>
      </w:r>
    </w:p>
    <w:p>
      <w:pPr>
        <w:pStyle w:val="Heading1"/>
      </w:pPr>
      <w:r>
        <w:t xml:space="preserve">Främjande av förnybar energi i Malå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Malå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Malå har goda förutsättningar för vind- och solenergi men endast två små anläggningar finns (Energimyndigheten 2025). Kommunen kan både sänka kostnader och skapa intäkter.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Malå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ett mål om 20 % förnybar elproduktion på kommunal mark till 2035.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uppdrar åt kommunstyrelsen att utreda vind- och solparker i samverkan med markägare.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500 000 kr för förstudier.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årlig uppföljning av producerad förnybar energi.</w:t>
      </w:r>
    </w:p>
    <w:p>
      <w:pPr>
        <w:spacing w:before="360"/>
      </w:pPr>
    </w:p>
    <w:p>
      <w:r>
        <w:t xml:space="preserve">Malå,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Malå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2026-07-14T00:47:45.377Z</dcterms:created>
  <dcterms:modified xsi:type="dcterms:W3CDTF">2026-07-14T00:47:45.377Z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