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Malå kommunfullmäktige</w:t>
      </w:r>
    </w:p>
    <w:p>
      <w:pPr>
        <w:pStyle w:val="Heading1"/>
      </w:pPr>
      <w:r>
        <w:t xml:space="preserve">Utveckling av naturturism och samisk kultur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Malå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Malå har stora naturvärden och samisk kultur men få paketerade upplevelser. Turismen omsätter endast 18 mnkr per år (Visit Västerbotten 2024). Potential finns för fler säsongsjobb.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Malå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en strategi för hållbar naturturism 2027–2030.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800 000 kr för samfinansiering av besöksnäringsprojekt med lokala aktörer.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uppdrar åt näringslivskontoret att skapa en samisk kulturportal tillsammans med samebyarna.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årlig uppföljning av antalet övernattningar och nya jobb inom turism.</w:t>
      </w:r>
    </w:p>
    <w:p>
      <w:pPr>
        <w:spacing w:before="360"/>
      </w:pPr>
    </w:p>
    <w:p>
      <w:r>
        <w:t xml:space="preserve">Malå,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Malå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2026-07-14T00:47:45.347Z</dcterms:created>
  <dcterms:modified xsi:type="dcterms:W3CDTF">2026-07-14T00:47:45.347Z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