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Malå kommunfullmäktige</w:t>
      </w:r>
    </w:p>
    <w:p>
      <w:pPr>
        <w:pStyle w:val="Heading1"/>
      </w:pPr>
      <w:r>
        <w:t xml:space="preserve">Bredbandsutbyggnad på landsbygden i Malå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Malå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Endast 68 % av hushållen på landsbygden har tillgång till bredband över 100 Mbit/s (PTS 2025). Detta hindrar distansarbete, företagsetableringar och digital delaktighet. Malå kommun har avsatt 4,2 mnkr i budget 2025 men takten är för låg jämfört med grannkommuner.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Malå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uppdrar åt kommunstyrelsen att ta fram en handlingsplan för att nå 95 % bredbandstäckning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2 mnkr årligen 2027–2029 för samfinansiering med statliga stöd.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begär årlig uppföljning av täckningsgraden i kommunfullmäktige.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uppdrar åt förvaltningen att prioritera områden med befintliga företag och skolor.</w:t>
      </w:r>
    </w:p>
    <w:p>
      <w:pPr>
        <w:spacing w:before="360"/>
      </w:pPr>
    </w:p>
    <w:p>
      <w:r>
        <w:t xml:space="preserve">Malå,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Malå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2026-07-14T00:47:45.323Z</dcterms:created>
  <dcterms:modified xsi:type="dcterms:W3CDTF">2026-07-14T00:47:45.323Z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