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Lycksele kommunfullmäktige</w:t>
      </w:r>
    </w:p>
    <w:p>
      <w:pPr>
        <w:pStyle w:val="Heading1"/>
      </w:pPr>
      <w:r>
        <w:t xml:space="preserve">Förenklad bygglovshantering för småhus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Lycksele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Bostadsbrist råder på landsbygden samtidigt som bygglovsprocessen är långsam. Kolada visar låg andel beviljade småhuslov 2024. Enklare regler kan stimulera inflyttning.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Lycksele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uppdrar åt byggnadsnämnden att införa en förenklad bygglovsprocess för småhus upp till 120 kvm.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handläggningstiden maximeras till 6 veckor för standardiserade småhusprojekt.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avgiftsfri rådgivning införs för privatpersoner som vill bygga på landsbygden.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av antalet beviljade lov redovisas kvartalsvis till kommunfullmäktige.</w:t>
      </w:r>
    </w:p>
    <w:p>
      <w:pPr>
        <w:spacing w:before="360"/>
      </w:pPr>
    </w:p>
    <w:p>
      <w:r>
        <w:t xml:space="preserve">Lycksele,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Lycksele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2026-07-14T00:45:05.072Z</dcterms:created>
  <dcterms:modified xsi:type="dcterms:W3CDTF">2026-07-14T00:45:05.072Z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