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Lycksele kommunfullmäktige</w:t>
      </w:r>
    </w:p>
    <w:p>
      <w:pPr>
        <w:pStyle w:val="Heading1"/>
      </w:pPr>
      <w:r>
        <w:t xml:space="preserve">Stöd till lokal besöksnäring och naturleder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Lycksele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Vindelfjällens naturreservat och Lycksele djurpark är viktiga besöksmål. Turismen omsätter cirka 180 miljoner kronor årligen men saknar samordnade leder (Visit Lycksele, rapport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Lycksele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avsätter 1,5 miljoner kronor för upprustning och skyltning av befintliga natur- och kulturleder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samordningsfunktion för besöksnäringen inrättas inom kommunens näringslivsenhet.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samebyar och lokala producenter prioriteras i marknadsföringen.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turismrapport presenteras för kommunfullmäktige med besöksstatistik och ekonomisk omsättning.</w:t>
      </w:r>
    </w:p>
    <w:p>
      <w:pPr>
        <w:spacing w:before="360"/>
      </w:pPr>
    </w:p>
    <w:p>
      <w:r>
        <w:t xml:space="preserve">Lycksele,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Lycksele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2026-07-14T00:45:05.066Z</dcterms:created>
  <dcterms:modified xsi:type="dcterms:W3CDTF">2026-07-14T00:45:05.066Z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