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Kil kommunfullmäktige</w:t>
      </w:r>
    </w:p>
    <w:p>
      <w:pPr>
        <w:pStyle w:val="Heading1"/>
      </w:pPr>
      <w:r>
        <w:t xml:space="preserve">Utbyggnad av bredband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Kil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18 % av hushållen i Kil kommun tillgång till 100 Mbit/s, främst på landsbygden runt Fagerås och Boda. Detta hämmar distansarbete och företagsetableringar. Kommunen har tidigare avsatt medel men takten är för låg jämfört med grannkommuner.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Kil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Kil kommunfullmäktige beslutar att uppdatera bredbandsstrategin med mål om 95 % täckning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avsätter 2,5 mnkr per år 2027-2029 för fiberutbyggnad i prioriterade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ska samarbeta med Telia och lokala fiberföreningar för samfinansiering.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uppföljningsrapport lämnas till kommunstyrelsen.</w:t>
      </w:r>
    </w:p>
    <w:p>
      <w:pPr>
        <w:spacing w:before="360"/>
      </w:pPr>
    </w:p>
    <w:p>
      <w:r>
        <w:t xml:space="preserve">Kil,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Kil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2026-07-14T00:27:05.729Z</dcterms:created>
  <dcterms:modified xsi:type="dcterms:W3CDTF">2026-07-14T00:27:05.729Z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