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Hammarö kommunfullmäktige</w:t>
      </w:r>
    </w:p>
    <w:p>
      <w:pPr>
        <w:pStyle w:val="Heading1"/>
      </w:pPr>
      <w:r>
        <w:t xml:space="preserve">Utveckling av hållbar turism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Hammarö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Turismen kring Vänern och Hammarö skärgård har potential men saknar samordning. Visit Värmland visar att besöken ökade 12 % 2024 men infrastrukturen är otillräcklig.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Hammarö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ta fram en strategi för hållbar turism 2027–2030.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stödja lokala producenter med 1 mnkr i marknadsföring.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förbättra cykel- och vandringsleder vid stränderna.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inrätta en turismkoordinator i kommunens organisation.</w:t>
      </w:r>
    </w:p>
    <w:p>
      <w:pPr>
        <w:spacing w:before="360"/>
      </w:pPr>
    </w:p>
    <w:p>
      <w:r>
        <w:t xml:space="preserve">Hammarö,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Hammarö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2026-07-14T00:07:36.346Z</dcterms:created>
  <dcterms:modified xsi:type="dcterms:W3CDTF">2026-07-14T00:07:36.346Z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