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Eda kommunfullmäktige</w:t>
      </w:r>
    </w:p>
    <w:p>
      <w:pPr>
        <w:pStyle w:val="Heading1"/>
      </w:pPr>
      <w:r>
        <w:t xml:space="preserve">Ökad produktion av förnybar energi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Eda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Eda har goda förutsättningar för sol- och vindkraft. Kommunens klimatstrategi 2023 saknar konkreta mål för egen produktion. Energimyndigheten pekar på potential.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Eda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om mål om 10 GWh lokal förnybar elproduktion till 2030.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avsätter 1,5 miljoner kronor för solceller på kommunala fastigheter.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uppdrar åt tekniska förvaltningen att identifiera lämpliga markområden.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redovisar energiproduktionen i miljöredovisningen.</w:t>
      </w:r>
    </w:p>
    <w:p>
      <w:pPr>
        <w:spacing w:before="360"/>
      </w:pPr>
    </w:p>
    <w:p>
      <w:r>
        <w:t xml:space="preserve">Eda,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Eda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2026-07-13T23:48:50.400Z</dcterms:created>
  <dcterms:modified xsi:type="dcterms:W3CDTF">2026-07-13T23:48:50.400Z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